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bidi w:val="0"/>
      </w:pP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5046230</wp:posOffset>
            </wp:positionH>
            <wp:positionV relativeFrom="page">
              <wp:posOffset>243840</wp:posOffset>
            </wp:positionV>
            <wp:extent cx="1102020" cy="110202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 descr="SPIN Logo Rot mit Text rz 1182x118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SPIN Logo Rot mit Text rz 1182x1182.png" descr="SPIN Logo Rot mit Text rz 1182x1182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2020" cy="11020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Standard"/>
        <w:bidi w:val="0"/>
      </w:pPr>
    </w:p>
    <w:p>
      <w:pPr>
        <w:pStyle w:val="Standard"/>
        <w:bidi w:val="0"/>
      </w:pPr>
    </w:p>
    <w:p>
      <w:pPr>
        <w:pStyle w:val="Standard"/>
        <w:bidi w:val="0"/>
      </w:pPr>
    </w:p>
    <w:p>
      <w:pPr>
        <w:pStyle w:val="Standard"/>
        <w:bidi w:val="0"/>
      </w:pPr>
      <w:r>
        <w:rPr>
          <w:rtl w:val="0"/>
          <w:lang w:val="de-DE"/>
        </w:rPr>
        <w:t xml:space="preserve">Medienmitteilung </w:t>
      </w:r>
    </w:p>
    <w:p>
      <w:pPr>
        <w:pStyle w:val="Standard"/>
        <w:bidi w:val="0"/>
      </w:pPr>
    </w:p>
    <w:p>
      <w:pPr>
        <w:pStyle w:val="Standard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de-DE"/>
        </w:rPr>
        <w:t>Power-to-X in der Schweiz: Starkes Marktpotenzial aufgrund regulatorischer Unsicherheit gef</w:t>
      </w:r>
      <w:r>
        <w:rPr>
          <w:b w:val="1"/>
          <w:bCs w:val="1"/>
          <w:sz w:val="28"/>
          <w:szCs w:val="28"/>
          <w:rtl w:val="0"/>
          <w:lang w:val="de-DE"/>
        </w:rPr>
        <w:t>ä</w:t>
      </w:r>
      <w:r>
        <w:rPr>
          <w:b w:val="1"/>
          <w:bCs w:val="1"/>
          <w:sz w:val="28"/>
          <w:szCs w:val="28"/>
          <w:rtl w:val="0"/>
          <w:lang w:val="de-DE"/>
        </w:rPr>
        <w:t>hrdet</w:t>
      </w:r>
    </w:p>
    <w:p>
      <w:pPr>
        <w:pStyle w:val="Standard"/>
        <w:rPr>
          <w:b w:val="1"/>
          <w:bCs w:val="1"/>
        </w:rPr>
      </w:pPr>
    </w:p>
    <w:p>
      <w:pPr>
        <w:pStyle w:val="Standard"/>
        <w:rPr>
          <w:b w:val="1"/>
          <w:bCs w:val="1"/>
        </w:rPr>
      </w:pPr>
      <w:r>
        <w:rPr>
          <w:b w:val="1"/>
          <w:bCs w:val="1"/>
          <w:rtl w:val="0"/>
          <w:lang w:val="de-DE"/>
        </w:rPr>
        <w:t>Z</w:t>
      </w:r>
      <w:r>
        <w:rPr>
          <w:b w:val="1"/>
          <w:bCs w:val="1"/>
          <w:rtl w:val="0"/>
          <w:lang w:val="de-DE"/>
        </w:rPr>
        <w:t>ü</w:t>
      </w:r>
      <w:r>
        <w:rPr>
          <w:b w:val="1"/>
          <w:bCs w:val="1"/>
          <w:rtl w:val="0"/>
          <w:lang w:val="de-DE"/>
        </w:rPr>
        <w:t xml:space="preserve">rich, 29. Januar 2026 </w:t>
      </w:r>
      <w:r>
        <w:rPr>
          <w:b w:val="1"/>
          <w:bCs w:val="1"/>
          <w:rtl w:val="0"/>
          <w:lang w:val="de-DE"/>
        </w:rPr>
        <w:t xml:space="preserve">– </w:t>
      </w:r>
      <w:r>
        <w:rPr>
          <w:b w:val="1"/>
          <w:bCs w:val="1"/>
          <w:rtl w:val="0"/>
          <w:lang w:val="de-DE"/>
        </w:rPr>
        <w:t>Die Schweiz zeigt ein starkes Marktpotenzial f</w:t>
      </w:r>
      <w:r>
        <w:rPr>
          <w:b w:val="1"/>
          <w:bCs w:val="1"/>
          <w:rtl w:val="0"/>
          <w:lang w:val="de-DE"/>
        </w:rPr>
        <w:t>ü</w:t>
      </w:r>
      <w:r>
        <w:rPr>
          <w:b w:val="1"/>
          <w:bCs w:val="1"/>
          <w:rtl w:val="0"/>
          <w:lang w:val="de-DE"/>
        </w:rPr>
        <w:t>r Power-to-X (PtX)-Technologien. Eine neue Marktanalyse von CGES zeigt, dass PtX-Investitionen in der Schweiz bereits rund 75 Millionen Schweizer Franken erreicht haben. Wenn derzeit angek</w:t>
      </w:r>
      <w:r>
        <w:rPr>
          <w:b w:val="1"/>
          <w:bCs w:val="1"/>
          <w:rtl w:val="0"/>
          <w:lang w:val="de-DE"/>
        </w:rPr>
        <w:t>ü</w:t>
      </w:r>
      <w:r>
        <w:rPr>
          <w:b w:val="1"/>
          <w:bCs w:val="1"/>
          <w:rtl w:val="0"/>
          <w:lang w:val="de-DE"/>
        </w:rPr>
        <w:t>ndigte Projekte eine endg</w:t>
      </w:r>
      <w:r>
        <w:rPr>
          <w:b w:val="1"/>
          <w:bCs w:val="1"/>
          <w:rtl w:val="0"/>
          <w:lang w:val="de-DE"/>
        </w:rPr>
        <w:t>ü</w:t>
      </w:r>
      <w:r>
        <w:rPr>
          <w:b w:val="1"/>
          <w:bCs w:val="1"/>
          <w:rtl w:val="0"/>
          <w:lang w:val="de-DE"/>
        </w:rPr>
        <w:t>ltige Investitionsentscheidung erreichen, k</w:t>
      </w:r>
      <w:r>
        <w:rPr>
          <w:b w:val="1"/>
          <w:bCs w:val="1"/>
          <w:rtl w:val="0"/>
          <w:lang w:val="de-DE"/>
        </w:rPr>
        <w:t>ö</w:t>
      </w:r>
      <w:r>
        <w:rPr>
          <w:b w:val="1"/>
          <w:bCs w:val="1"/>
          <w:rtl w:val="0"/>
          <w:lang w:val="de-DE"/>
        </w:rPr>
        <w:t>nnten die Gesamtinvestitionen bis Anfang der 2030er Jahre auf rund 400 Millionen Schweizer Franken steigen. Eine andere, von SPIN durchgef</w:t>
      </w:r>
      <w:r>
        <w:rPr>
          <w:b w:val="1"/>
          <w:bCs w:val="1"/>
          <w:rtl w:val="0"/>
          <w:lang w:val="de-DE"/>
        </w:rPr>
        <w:t>ü</w:t>
      </w:r>
      <w:r>
        <w:rPr>
          <w:b w:val="1"/>
          <w:bCs w:val="1"/>
          <w:rtl w:val="0"/>
          <w:lang w:val="de-DE"/>
        </w:rPr>
        <w:t>hrte Analyse, weist jedoch auf ein erhebliches Risiko hin: Ohne stabile und Investitionen erm</w:t>
      </w:r>
      <w:r>
        <w:rPr>
          <w:b w:val="1"/>
          <w:bCs w:val="1"/>
          <w:rtl w:val="0"/>
          <w:lang w:val="de-DE"/>
        </w:rPr>
        <w:t>ö</w:t>
      </w:r>
      <w:r>
        <w:rPr>
          <w:b w:val="1"/>
          <w:bCs w:val="1"/>
          <w:rtl w:val="0"/>
          <w:lang w:val="de-DE"/>
        </w:rPr>
        <w:t>glichende Rahmenbedingungen k</w:t>
      </w:r>
      <w:r>
        <w:rPr>
          <w:b w:val="1"/>
          <w:bCs w:val="1"/>
          <w:rtl w:val="0"/>
          <w:lang w:val="de-DE"/>
        </w:rPr>
        <w:t>ö</w:t>
      </w:r>
      <w:r>
        <w:rPr>
          <w:b w:val="1"/>
          <w:bCs w:val="1"/>
          <w:rtl w:val="0"/>
          <w:lang w:val="de-DE"/>
        </w:rPr>
        <w:t>nnte die aktuelle Dynamik ins Stocken geraten. Power-to-X ist die Umwandlung von schlecht speicherbarer Energie in molekulare Energietr</w:t>
      </w:r>
      <w:r>
        <w:rPr>
          <w:b w:val="1"/>
          <w:bCs w:val="1"/>
          <w:rtl w:val="0"/>
          <w:lang w:val="de-DE"/>
        </w:rPr>
        <w:t>ä</w:t>
      </w:r>
      <w:r>
        <w:rPr>
          <w:b w:val="1"/>
          <w:bCs w:val="1"/>
          <w:rtl w:val="0"/>
          <w:lang w:val="de-DE"/>
        </w:rPr>
        <w:t>ger wie Wasserstoff und synthetische Brenn- und Treibstoffe.</w:t>
      </w:r>
    </w:p>
    <w:p>
      <w:pPr>
        <w:pStyle w:val="Standard"/>
        <w:bidi w:val="0"/>
      </w:pPr>
    </w:p>
    <w:p>
      <w:pPr>
        <w:pStyle w:val="Standard"/>
        <w:bidi w:val="0"/>
      </w:pPr>
      <w:r>
        <w:rPr>
          <w:rtl w:val="0"/>
          <w:lang w:val="de-DE"/>
        </w:rPr>
        <w:t>Die Marktanalyse wurde im Rahmen des Swiss Power-to-X Project Tracker (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"http://www.cges.ch/projects"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de-DE"/>
        </w:rPr>
        <w:t>www.cges.ch/projects</w:t>
      </w:r>
      <w:r>
        <w:rPr/>
        <w:fldChar w:fldCharType="end" w:fldLock="0"/>
      </w:r>
      <w:r>
        <w:rPr>
          <w:rtl w:val="0"/>
          <w:lang w:val="de-DE"/>
        </w:rPr>
        <w:t>) durchgef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 xml:space="preserve">hrt, einer gemeinsamen Initiative der Coalition for Green Energy &amp; Storage (CGES) und des Swiss Power-to-X Collaborative Innovation Network (SPIN). Sie bietet den ersten und aktuellen 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 xml:space="preserve">berblick 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ber Power-to-X-Projekte in der ganzen Schweiz, die Investitionsvolumen, Projektstatus, Technologien, Outputs und regionale Verteilung abdecken. Projektdaten wurden durch direkte Kontaktaufnahme mit Proj</w:t>
      </w:r>
      <w: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465999</wp:posOffset>
            </wp:positionH>
            <wp:positionV relativeFrom="page">
              <wp:posOffset>358520</wp:posOffset>
            </wp:positionV>
            <wp:extent cx="3196557" cy="872660"/>
            <wp:effectExtent l="0" t="0" r="0" b="0"/>
            <wp:wrapNone/>
            <wp:docPr id="1073741827" name="officeArt object" descr="cge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ges.png" descr="cges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6557" cy="87266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tl w:val="0"/>
          <w:lang w:val="de-DE"/>
        </w:rPr>
        <w:t xml:space="preserve">ektentwicklern gesammelt und anhand </w:t>
      </w:r>
      <w:r>
        <w:rPr>
          <w:rtl w:val="0"/>
          <w:lang w:val="de-DE"/>
        </w:rPr>
        <w:t>ö</w:t>
      </w:r>
      <w:r>
        <w:rPr>
          <w:rtl w:val="0"/>
          <w:lang w:val="de-DE"/>
        </w:rPr>
        <w:t>ffentlich zug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 xml:space="preserve">nglicher Informationen 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berpr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ft.</w:t>
      </w:r>
    </w:p>
    <w:p>
      <w:pPr>
        <w:pStyle w:val="Standard"/>
        <w:bidi w:val="0"/>
      </w:pPr>
    </w:p>
    <w:p>
      <w:pPr>
        <w:pStyle w:val="Standard"/>
        <w:rPr>
          <w:b w:val="1"/>
          <w:bCs w:val="1"/>
        </w:rPr>
      </w:pPr>
      <w:r>
        <w:rPr>
          <w:b w:val="1"/>
          <w:bCs w:val="1"/>
          <w:rtl w:val="0"/>
          <w:lang w:val="de-DE"/>
        </w:rPr>
        <w:t>Fr</w:t>
      </w:r>
      <w:r>
        <w:rPr>
          <w:b w:val="1"/>
          <w:bCs w:val="1"/>
          <w:rtl w:val="0"/>
          <w:lang w:val="de-DE"/>
        </w:rPr>
        <w:t>ü</w:t>
      </w:r>
      <w:r>
        <w:rPr>
          <w:b w:val="1"/>
          <w:bCs w:val="1"/>
          <w:rtl w:val="0"/>
          <w:lang w:val="de-DE"/>
        </w:rPr>
        <w:t>hes Wachstum - drohende Investitionsl</w:t>
      </w:r>
      <w:r>
        <w:rPr>
          <w:b w:val="1"/>
          <w:bCs w:val="1"/>
          <w:rtl w:val="0"/>
          <w:lang w:val="de-DE"/>
        </w:rPr>
        <w:t>ü</w:t>
      </w:r>
      <w:r>
        <w:rPr>
          <w:b w:val="1"/>
          <w:bCs w:val="1"/>
          <w:rtl w:val="0"/>
          <w:lang w:val="de-DE"/>
        </w:rPr>
        <w:t>cke</w:t>
      </w:r>
    </w:p>
    <w:p>
      <w:pPr>
        <w:pStyle w:val="Standard"/>
        <w:bidi w:val="0"/>
      </w:pPr>
    </w:p>
    <w:p>
      <w:pPr>
        <w:pStyle w:val="Standard"/>
        <w:bidi w:val="0"/>
      </w:pPr>
      <w:r>
        <w:rPr>
          <w:rtl w:val="0"/>
          <w:lang w:val="de-DE"/>
        </w:rPr>
        <w:t xml:space="preserve">Seit 2018 ist die Zahl der Power-to-X-Projekte in der Schweiz stetig gestiegen. Bis 2025 sind 16 Projekte in Betrieb, mit 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ber 30 angek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ndigten Werken. Laut der CGES-Analyse k</w:t>
      </w:r>
      <w:r>
        <w:rPr>
          <w:rtl w:val="0"/>
          <w:lang w:val="de-DE"/>
        </w:rPr>
        <w:t>ö</w:t>
      </w:r>
      <w:r>
        <w:rPr>
          <w:rtl w:val="0"/>
          <w:lang w:val="de-DE"/>
        </w:rPr>
        <w:t>nnte die installierte PtX-Kapazit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t bis 2032 auf rund 56 MW anwachsen.</w:t>
      </w:r>
    </w:p>
    <w:p>
      <w:pPr>
        <w:pStyle w:val="Standard"/>
        <w:bidi w:val="0"/>
      </w:pPr>
    </w:p>
    <w:p>
      <w:pPr>
        <w:pStyle w:val="Standard"/>
        <w:bidi w:val="0"/>
      </w:pPr>
      <w:r>
        <w:rPr>
          <w:rtl w:val="0"/>
          <w:lang w:val="de-DE"/>
        </w:rPr>
        <w:t>Gleichzeitig zeigt die Analyse eine kritische Schw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che: Nur ein kleiner Teil der angek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ndigten Projekte hat die endg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ltige Investitionsentscheidung (FID) erreicht. F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r den Zeitraum nach 2026 weist die Projektpipeline eine deutliche L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cke auf, was auf eine m</w:t>
      </w:r>
      <w:r>
        <w:rPr>
          <w:rtl w:val="0"/>
          <w:lang w:val="de-DE"/>
        </w:rPr>
        <w:t>ö</w:t>
      </w:r>
      <w:r>
        <w:rPr>
          <w:rtl w:val="0"/>
          <w:lang w:val="de-DE"/>
        </w:rPr>
        <w:t>gliche Stagnation neuer Investitionen hinweist. Projektentwickler berichten von Verz</w:t>
      </w:r>
      <w:r>
        <w:rPr>
          <w:rtl w:val="0"/>
          <w:lang w:val="de-DE"/>
        </w:rPr>
        <w:t>ö</w:t>
      </w:r>
      <w:r>
        <w:rPr>
          <w:rtl w:val="0"/>
          <w:lang w:val="de-DE"/>
        </w:rPr>
        <w:t>gerungen und Sistierungen trotz technischer Bereitschaft und starker Partnerstrukturen.</w:t>
      </w:r>
    </w:p>
    <w:p>
      <w:pPr>
        <w:pStyle w:val="Standard"/>
        <w:bidi w:val="0"/>
      </w:pPr>
    </w:p>
    <w:p>
      <w:pPr>
        <w:pStyle w:val="Standard"/>
        <w:bidi w:val="0"/>
      </w:pPr>
      <w:r>
        <w:rPr>
          <w:rtl w:val="0"/>
          <w:lang w:val="de-DE"/>
        </w:rPr>
        <w:t>Die gr</w:t>
      </w:r>
      <w:r>
        <w:rPr>
          <w:rtl w:val="0"/>
          <w:lang w:val="de-DE"/>
        </w:rPr>
        <w:t>ö</w:t>
      </w:r>
      <w:r>
        <w:rPr>
          <w:rtl w:val="0"/>
          <w:lang w:val="de-DE"/>
        </w:rPr>
        <w:t>ssten Probleme, die von Projektentwicklern immer wieder angef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hrt werden, sind nicht technologischer Art oder mangelndes Interesse, sondern die Unsicherheit in Bezug auf Marktdesign, Regulierung und langfristige Planungssicherheit.</w:t>
      </w:r>
    </w:p>
    <w:p>
      <w:pPr>
        <w:pStyle w:val="Standard"/>
        <w:bidi w:val="0"/>
      </w:pPr>
    </w:p>
    <w:p>
      <w:pPr>
        <w:pStyle w:val="Standard"/>
        <w:rPr>
          <w:b w:val="1"/>
          <w:bCs w:val="1"/>
        </w:rPr>
      </w:pPr>
      <w:r>
        <w:rPr>
          <w:b w:val="1"/>
          <w:bCs w:val="1"/>
          <w:rtl w:val="0"/>
          <w:lang w:val="de-DE"/>
        </w:rPr>
        <w:t>Politische Analyse: legislative Absicht versus regulatorische Realit</w:t>
      </w:r>
      <w:r>
        <w:rPr>
          <w:b w:val="1"/>
          <w:bCs w:val="1"/>
          <w:rtl w:val="0"/>
          <w:lang w:val="de-DE"/>
        </w:rPr>
        <w:t>ä</w:t>
      </w:r>
      <w:r>
        <w:rPr>
          <w:b w:val="1"/>
          <w:bCs w:val="1"/>
          <w:rtl w:val="0"/>
          <w:lang w:val="de-DE"/>
        </w:rPr>
        <w:t>t</w:t>
      </w:r>
    </w:p>
    <w:p>
      <w:pPr>
        <w:pStyle w:val="Standard"/>
        <w:bidi w:val="0"/>
      </w:pPr>
    </w:p>
    <w:p>
      <w:pPr>
        <w:pStyle w:val="Standard"/>
        <w:bidi w:val="0"/>
      </w:pPr>
      <w:r>
        <w:rPr>
          <w:rtl w:val="0"/>
          <w:lang w:val="de-DE"/>
        </w:rPr>
        <w:t>Erg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nzend zur CGES-Marktanalyse hat SPIN eine umfassende Politikanalyse ver</w:t>
      </w:r>
      <w:r>
        <w:rPr>
          <w:rtl w:val="0"/>
          <w:lang w:val="de-DE"/>
        </w:rPr>
        <w:t>ö</w:t>
      </w:r>
      <w:r>
        <w:rPr>
          <w:rtl w:val="0"/>
          <w:lang w:val="de-DE"/>
        </w:rPr>
        <w:t>ffentlicht, die den schweizerischen Regulierungsrahmen f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r Power-to-X untersucht. Sie hebt eine strukturelle Spannung hervor: W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hrend die Schweizer Gesetzgebung, insbesondere Artikel 11a des CO</w:t>
      </w:r>
      <w:r>
        <w:rPr>
          <w:vertAlign w:val="subscript"/>
          <w:rtl w:val="0"/>
          <w:lang w:val="de-DE"/>
        </w:rPr>
        <w:t>2</w:t>
      </w:r>
      <w:r>
        <w:rPr>
          <w:rtl w:val="0"/>
          <w:lang w:val="de-DE"/>
        </w:rPr>
        <w:t>-Gesetzes, explizit einen technologieneutralen Ansatz erm</w:t>
      </w:r>
      <w:r>
        <w:rPr>
          <w:rtl w:val="0"/>
          <w:lang w:val="de-DE"/>
        </w:rPr>
        <w:t>ö</w:t>
      </w:r>
      <w:r>
        <w:rPr>
          <w:rtl w:val="0"/>
          <w:lang w:val="de-DE"/>
        </w:rPr>
        <w:t>glicht, indem zum Beispiel synthetische Treibstoffe zur Emissionsminderung von Fahrzeugflotten beitragen k</w:t>
      </w:r>
      <w:r>
        <w:rPr>
          <w:rtl w:val="0"/>
          <w:lang w:val="de-DE"/>
        </w:rPr>
        <w:t>ö</w:t>
      </w:r>
      <w:r>
        <w:rPr>
          <w:rtl w:val="0"/>
          <w:lang w:val="de-DE"/>
        </w:rPr>
        <w:t>nnen, spiegelt sich diese Absicht nur teilweise in der detaillierten Umsetzung wider.</w:t>
      </w:r>
    </w:p>
    <w:p>
      <w:pPr>
        <w:pStyle w:val="Standard"/>
        <w:bidi w:val="0"/>
      </w:pPr>
    </w:p>
    <w:p>
      <w:pPr>
        <w:pStyle w:val="Standard"/>
        <w:bidi w:val="0"/>
      </w:pPr>
      <w:r>
        <w:rPr>
          <w:rtl w:val="0"/>
          <w:lang w:val="de-DE"/>
        </w:rPr>
        <w:t>Inkonsistenzen in der CO</w:t>
      </w:r>
      <w:r>
        <w:rPr>
          <w:vertAlign w:val="subscript"/>
          <w:rtl w:val="0"/>
          <w:lang w:val="de-DE"/>
        </w:rPr>
        <w:t>2</w:t>
      </w:r>
      <w:r>
        <w:rPr>
          <w:rtl w:val="0"/>
          <w:lang w:val="de-DE"/>
        </w:rPr>
        <w:t>-Verordnung, begrenzte Genehmigungsdauern, Unsicherheiten in Bezug auf Netzgeb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hren, Steuern und andere Anforderungen untergraben die Bankf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higkeit von PtX-Projekten erheblich. F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r kapitalintensive Anlagen, die einen Investitionshorizont von 15 bis 20 Jahren erfordern, stellen solche Unsicherheiten ein entscheidendes Hindernis dar.</w:t>
      </w:r>
    </w:p>
    <w:p>
      <w:pPr>
        <w:pStyle w:val="Standard"/>
        <w:bidi w:val="0"/>
      </w:pPr>
    </w:p>
    <w:p>
      <w:pPr>
        <w:pStyle w:val="Standard"/>
        <w:rPr>
          <w:b w:val="1"/>
          <w:bCs w:val="1"/>
        </w:rPr>
      </w:pPr>
      <w:r>
        <w:rPr>
          <w:b w:val="1"/>
          <w:bCs w:val="1"/>
          <w:rtl w:val="0"/>
          <w:lang w:val="de-DE"/>
        </w:rPr>
        <w:t>Zwischen F</w:t>
      </w:r>
      <w:r>
        <w:rPr>
          <w:b w:val="1"/>
          <w:bCs w:val="1"/>
          <w:rtl w:val="0"/>
          <w:lang w:val="de-DE"/>
        </w:rPr>
        <w:t>ü</w:t>
      </w:r>
      <w:r>
        <w:rPr>
          <w:b w:val="1"/>
          <w:bCs w:val="1"/>
          <w:rtl w:val="0"/>
          <w:lang w:val="de-DE"/>
        </w:rPr>
        <w:t>hrung und verpasster Gelegenheit</w:t>
      </w:r>
    </w:p>
    <w:p>
      <w:pPr>
        <w:pStyle w:val="Standard"/>
        <w:bidi w:val="0"/>
      </w:pPr>
    </w:p>
    <w:p>
      <w:pPr>
        <w:pStyle w:val="Standard"/>
        <w:bidi w:val="0"/>
      </w:pPr>
      <w:r>
        <w:rPr>
          <w:rtl w:val="0"/>
          <w:lang w:val="de-DE"/>
        </w:rPr>
        <w:t xml:space="preserve">Die CGES-Marktanalyse zeigt deutlich, dass die Schweiz 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ber viele der notwendigen Zutaten f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r ein erfolgreiches Power-to-X-</w:t>
      </w:r>
      <w:r>
        <w:rPr>
          <w:rtl w:val="0"/>
          <w:lang w:val="de-DE"/>
        </w:rPr>
        <w:t>Ö</w:t>
      </w:r>
      <w:r>
        <w:rPr>
          <w:rtl w:val="0"/>
          <w:lang w:val="de-DE"/>
        </w:rPr>
        <w:t>kosystem verf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gt: eine breite Projektpipeline, hohe technologische Kompetenz und eine aktive Gemeinschaft von rund 70 Organisationen in der gesamten Wertsch</w:t>
      </w:r>
      <w:r>
        <w:rPr>
          <w:rtl w:val="0"/>
          <w:lang w:val="de-DE"/>
        </w:rPr>
        <w:t>ö</w:t>
      </w:r>
      <w:r>
        <w:rPr>
          <w:rtl w:val="0"/>
          <w:lang w:val="de-DE"/>
        </w:rPr>
        <w:t>pfungskette.</w:t>
      </w:r>
    </w:p>
    <w:p>
      <w:pPr>
        <w:pStyle w:val="Standard"/>
        <w:bidi w:val="0"/>
      </w:pPr>
    </w:p>
    <w:p>
      <w:pPr>
        <w:pStyle w:val="Standard"/>
        <w:bidi w:val="0"/>
      </w:pPr>
      <w:r>
        <w:rPr>
          <w:rtl w:val="0"/>
          <w:lang w:val="de-DE"/>
        </w:rPr>
        <w:t>Die SPIN-Politikanalyse unterstreicht jedoch, dass ohne konsistente, vorhersehbare und investorenfreundliche Rahmenbedingungen ein grosser Teil dieses Potenzials m</w:t>
      </w:r>
      <w:r>
        <w:rPr>
          <w:rtl w:val="0"/>
          <w:lang w:val="de-DE"/>
        </w:rPr>
        <w:t>ö</w:t>
      </w:r>
      <w:r>
        <w:rPr>
          <w:rtl w:val="0"/>
          <w:lang w:val="de-DE"/>
        </w:rPr>
        <w:t>glicherweise nicht realisiert wird.</w:t>
      </w:r>
    </w:p>
    <w:p>
      <w:pPr>
        <w:pStyle w:val="Standard"/>
        <w:bidi w:val="0"/>
      </w:pPr>
    </w:p>
    <w:p>
      <w:pPr>
        <w:pStyle w:val="Standard"/>
        <w:bidi w:val="0"/>
      </w:pPr>
      <w:r>
        <w:rPr>
          <w:rtl w:val="0"/>
          <w:lang w:val="de-DE"/>
        </w:rPr>
        <w:t xml:space="preserve">SPIN und CGES sehen die Schweiz daher an einem strategischen Scheideweg: Sie kann entweder Investitionen abschreckende und teilweise 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berm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ssig restriktive EU-Vorschriften replizieren, oder sie kann ihren technologieneutralen Rechtsrahmen konsequent umsetzen und sich als zuverl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ssigen und attraktiven Standort f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r Power-to-X-Investitionen positionieren.</w:t>
      </w:r>
    </w:p>
    <w:p>
      <w:pPr>
        <w:pStyle w:val="Standard"/>
        <w:bidi w:val="0"/>
      </w:pPr>
    </w:p>
    <w:p>
      <w:pPr>
        <w:pStyle w:val="Standard"/>
        <w:rPr>
          <w:b w:val="1"/>
          <w:bCs w:val="1"/>
        </w:rPr>
      </w:pPr>
      <w:r>
        <w:rPr>
          <w:b w:val="1"/>
          <w:bCs w:val="1"/>
          <w:rtl w:val="0"/>
          <w:lang w:val="de-DE"/>
        </w:rPr>
        <w:t>Fazit</w:t>
      </w:r>
    </w:p>
    <w:p>
      <w:pPr>
        <w:pStyle w:val="Standard"/>
        <w:bidi w:val="0"/>
      </w:pPr>
    </w:p>
    <w:p>
      <w:pPr>
        <w:pStyle w:val="Standard"/>
        <w:bidi w:val="0"/>
      </w:pPr>
      <w:r>
        <w:rPr>
          <w:rtl w:val="0"/>
          <w:lang w:val="de-DE"/>
        </w:rPr>
        <w:t>Die von CGES geleitete Marktanalyse best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tigt die wirtschaftliche und industrielle Relevanz von Power-to-X f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r die Schweiz. Die SPIN-Politikanalyse identifiziert die regulatorischen Anpassungen, die erforderlich sind, um dieses Potenzial zu erschliessen. Gemeinsam senden sie eine klare Botschaft: Das Haupthindernis f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r den Power-to-X-Marktanlauf ist nicht die Technologie, sondern die regulatorische und Investitionssicherheit.</w:t>
      </w:r>
    </w:p>
    <w:p>
      <w:pPr>
        <w:pStyle w:val="Standard"/>
        <w:bidi w:val="0"/>
      </w:pPr>
    </w:p>
    <w:p>
      <w:pPr>
        <w:pStyle w:val="Standard"/>
        <w:bidi w:val="0"/>
      </w:pPr>
      <w:r>
        <w:rPr>
          <w:rtl w:val="0"/>
          <w:lang w:val="de-DE"/>
        </w:rPr>
        <w:t>Kontakte:</w:t>
      </w:r>
    </w:p>
    <w:p>
      <w:pPr>
        <w:pStyle w:val="Standard"/>
        <w:bidi w:val="0"/>
      </w:pPr>
      <w:r>
        <w:rPr>
          <w:rtl w:val="0"/>
          <w:lang w:val="en-US"/>
        </w:rPr>
        <w:t>Swiss Power-to-X Collaborative Innovation Network (SPIN)</w:t>
      </w:r>
    </w:p>
    <w:p>
      <w:pPr>
        <w:pStyle w:val="Standard"/>
        <w:bidi w:val="0"/>
      </w:pPr>
      <w:r>
        <w:rPr>
          <w:rtl w:val="0"/>
          <w:lang w:val="de-DE"/>
        </w:rPr>
        <w:t xml:space="preserve">Peter Metzinger </w:t>
      </w:r>
    </w:p>
    <w:p>
      <w:pPr>
        <w:pStyle w:val="Standard"/>
        <w:bidi w:val="0"/>
      </w:pPr>
      <w:r>
        <w:rPr>
          <w:rtl w:val="0"/>
          <w:lang w:val="de-DE"/>
        </w:rPr>
        <w:t xml:space="preserve">+41 79 628 61 26 </w:t>
      </w:r>
    </w:p>
    <w:p>
      <w:pPr>
        <w:pStyle w:val="Standard"/>
        <w:bidi w:val="0"/>
      </w:pPr>
      <w:r>
        <w:rPr>
          <w:rtl w:val="0"/>
          <w:lang w:val="de-DE"/>
        </w:rPr>
        <w:t xml:space="preserve">info@spin-together.ch </w:t>
      </w:r>
    </w:p>
    <w:p>
      <w:pPr>
        <w:pStyle w:val="Standard"/>
        <w:bidi w:val="0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"http://www.spin-together.ch"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www.spin-together.ch</w:t>
      </w:r>
      <w:r>
        <w:rPr/>
        <w:fldChar w:fldCharType="end" w:fldLock="0"/>
      </w:r>
    </w:p>
    <w:p>
      <w:pPr>
        <w:pStyle w:val="Standard"/>
        <w:bidi w:val="0"/>
      </w:pPr>
    </w:p>
    <w:p>
      <w:pPr>
        <w:pStyle w:val="Standard"/>
        <w:bidi w:val="0"/>
      </w:pPr>
      <w:r>
        <w:rPr>
          <w:rtl w:val="0"/>
          <w:lang w:val="en-US"/>
        </w:rPr>
        <w:t>Coalition for Green Energy &amp; Storage</w:t>
      </w:r>
    </w:p>
    <w:p>
      <w:pPr>
        <w:pStyle w:val="Standard"/>
        <w:bidi w:val="0"/>
      </w:pPr>
      <w:r>
        <w:rPr>
          <w:rtl w:val="0"/>
          <w:lang w:val="es-ES_tradnl"/>
        </w:rPr>
        <w:t>Alejandro Nunez-Jimenez</w:t>
      </w:r>
    </w:p>
    <w:p>
      <w:pPr>
        <w:pStyle w:val="Standard"/>
        <w:bidi w:val="0"/>
      </w:pPr>
      <w:r>
        <w:rPr>
          <w:rtl w:val="0"/>
        </w:rPr>
        <w:t>+41 44 632 29 83.</w:t>
      </w:r>
    </w:p>
    <w:p>
      <w:pPr>
        <w:pStyle w:val="Standard"/>
        <w:bidi w:val="0"/>
      </w:pPr>
      <w:r>
        <w:rPr>
          <w:rtl w:val="0"/>
        </w:rPr>
        <w:t>anunez-jimenez@ethz.ch</w:t>
      </w:r>
    </w:p>
    <w:p>
      <w:pPr>
        <w:pStyle w:val="Standard"/>
        <w:bidi w:val="0"/>
      </w:pPr>
      <w:r>
        <w:rPr>
          <w:rtl w:val="0"/>
        </w:rPr>
        <w:t>www.cges.ch</w:t>
      </w:r>
    </w:p>
    <w:sectPr>
      <w:headerReference w:type="default" r:id="rId6"/>
      <w:footerReference w:type="default" r:id="rId7"/>
      <w:pgSz w:w="11900" w:h="16840" w:orient="portrait"/>
      <w:pgMar w:top="1417" w:right="1134" w:bottom="720" w:left="1134" w:header="425" w:footer="567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sszeilen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  <w:jc w:val="right"/>
    </w:pP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tandard"/>
      <w:jc w:val="right"/>
    </w:pPr>
    <w:r>
      <mc:AlternateContent>
        <mc:Choice Requires="wps">
          <w:drawing xmlns:a="http://schemas.openxmlformats.org/drawingml/2006/main"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7614538</wp:posOffset>
              </wp:positionH>
              <wp:positionV relativeFrom="page">
                <wp:posOffset>10015854</wp:posOffset>
              </wp:positionV>
              <wp:extent cx="83312" cy="152400"/>
              <wp:effectExtent l="0" t="0" r="0" b="0"/>
              <wp:wrapNone/>
              <wp:docPr id="1073741825" name="officeArt object" descr="Rechtec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312" cy="152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Kopf- und Fusszeilen"/>
                            <w:bidi w:val="0"/>
                          </w:pPr>
                          <w:r>
                            <w:rPr>
                              <w:rStyle w:val="Seitenzahl"/>
                            </w:rPr>
                            <w:fldChar w:fldCharType="begin" w:fldLock="0"/>
                          </w:r>
                          <w:r>
                            <w:rPr>
                              <w:rStyle w:val="Seitenzahl"/>
                            </w:rPr>
                            <w:instrText xml:space="preserve"> PAGE </w:instrText>
                          </w:r>
                          <w:r>
                            <w:rPr>
                              <w:rStyle w:val="Seitenzahl"/>
                            </w:rPr>
                            <w:fldChar w:fldCharType="separate" w:fldLock="0"/>
                          </w:r>
                          <w:r>
                            <w:rPr>
                              <w:rStyle w:val="Seitenzahl"/>
                            </w:rPr>
                            <w:t>1</w:t>
                          </w:r>
                          <w:r>
                            <w:rPr>
                              <w:rStyle w:val="Seitenzahl"/>
                            </w:rPr>
                            <w:fldChar w:fldCharType="end" w:fldLock="0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style="visibility:visible;position:absolute;margin-left:599.6pt;margin-top:788.6pt;width:6.6pt;height:12.0pt;z-index:-251658240;mso-position-horizontal:absolute;mso-position-horizontal-relative:page;mso-position-vertical:absolute;mso-position-vertical-relative:page;mso-wrap-distance-left:0.0pt;mso-wrap-distance-top:0.0pt;mso-wrap-distance-right:0.0pt;mso-wrap-distance-bottom:0.0pt;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Kopf- und Fusszeilen"/>
                      <w:bidi w:val="0"/>
                    </w:pPr>
                    <w:r>
                      <w:rPr>
                        <w:rStyle w:val="Seitenzahl"/>
                      </w:rPr>
                      <w:fldChar w:fldCharType="begin" w:fldLock="0"/>
                    </w:r>
                    <w:r>
                      <w:rPr>
                        <w:rStyle w:val="Seitenzahl"/>
                      </w:rPr>
                      <w:instrText xml:space="preserve"> PAGE </w:instrText>
                    </w:r>
                    <w:r>
                      <w:rPr>
                        <w:rStyle w:val="Seitenzahl"/>
                      </w:rPr>
                      <w:fldChar w:fldCharType="separate" w:fldLock="0"/>
                    </w:r>
                    <w:r>
                      <w:rPr>
                        <w:rStyle w:val="Seitenzahl"/>
                      </w:rPr>
                      <w:t>1</w:t>
                    </w:r>
                    <w:r>
                      <w:rPr>
                        <w:rStyle w:val="Seitenzahl"/>
                      </w:rPr>
                      <w:fldChar w:fldCharType="end" w:fldLock="0"/>
                    </w:r>
                  </w:p>
                </w:txbxContent>
              </v:textbox>
              <w10:wrap type="none" side="bothSides" anchorx="page" anchory="page"/>
            </v:rect>
          </w:pict>
        </mc:Fallback>
      </mc:AlternateContent>
    </w:r>
  </w:p>
  <w:p>
    <w:pPr>
      <w:pStyle w:val="Standard"/>
      <w:bidi w:val="0"/>
    </w:pPr>
  </w:p>
  <w:p>
    <w:pPr>
      <w:pStyle w:val="Standard"/>
      <w:bidi w:val="0"/>
    </w:pPr>
  </w:p>
  <w:p>
    <w:pPr>
      <w:pStyle w:val="Standard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trackRevisions/>
  <w:defaultTabStop w:val="720"/>
  <w:autoHyphenation w:val="1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80" w:after="8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Kopf- und Fusszeilen">
    <w:name w:val="Kopf- und Fusszeilen"/>
    <w:next w:val="Kopf- und Fusszeilen"/>
    <w:pPr>
      <w:keepNext w:val="0"/>
      <w:keepLines w:val="0"/>
      <w:pageBreakBefore w:val="0"/>
      <w:widowControl w:val="1"/>
      <w:shd w:val="clear" w:color="auto" w:fill="auto"/>
      <w:tabs>
        <w:tab w:val="right" w:pos="963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4"/>
      <w:szCs w:val="1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Seitenzahl">
    <w:name w:val="Seitenzahl"/>
    <w:rPr>
      <w:outline w:val="0"/>
      <w:color w:val="000000"/>
      <w:sz w:val="20"/>
      <w:szCs w:val="20"/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outline w:val="0"/>
      <w:color w:val="000099"/>
      <w:u w:val="single"/>
      <w14:textFill>
        <w14:solidFill>
          <w14:srgbClr w14:val="000099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_rels/theme1.xml.rels><?xml version="1.0" encoding="UTF-8"?>
<Relationships xmlns="http://schemas.openxmlformats.org/package/2006/relationships"><Relationship Id="rId1" Type="http://schemas.openxmlformats.org/officeDocument/2006/relationships/image" Target="../media/image3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Open Sans"/>
        <a:ea typeface="Open Sans"/>
        <a:cs typeface="Open Sans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4958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4958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0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